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60"/>
      </w:pPr>
    </w:p>
    <w:p>
      <w:pPr>
        <w:spacing w:after="280"/>
        <w:jc w:val="center"/>
      </w:pPr>
      <w:r>
        <w:rPr>
          <w:rFonts w:ascii="Aptos Display" w:hAnsi="Aptos Display" w:eastAsia="Aptos Display"/>
          <w:color w:val="111111"/>
          <w:sz w:val="42"/>
        </w:rPr>
        <w:t>First Session and Assessment</w:t>
      </w:r>
    </w:p>
    <w:p>
      <w:pPr>
        <w:spacing w:after="200" w:line="276" w:lineRule="auto"/>
        <w:jc w:val="left"/>
      </w:pPr>
      <w:r>
        <w:rPr>
          <w:rFonts w:ascii="Aptos" w:hAnsi="Aptos" w:eastAsia="Aptos"/>
          <w:sz w:val="22"/>
        </w:rPr>
        <w:t>The first session is a 50-minute assessment, which you can attend either on your own or with your partner.</w:t>
      </w:r>
    </w:p>
    <w:p>
      <w:pPr>
        <w:spacing w:after="200" w:line="276" w:lineRule="auto"/>
        <w:jc w:val="left"/>
      </w:pPr>
      <w:r>
        <w:rPr>
          <w:rFonts w:ascii="Aptos" w:hAnsi="Aptos" w:eastAsia="Aptos"/>
          <w:sz w:val="22"/>
        </w:rPr>
        <w:t>This initial meeting is a space for you to talk about the difficulties you are experiencing. I will ask questions to help us understand how these issues may be affecting your emotional and physical well-being, your relationships, and other areas of your life.</w:t>
      </w:r>
    </w:p>
    <w:p>
      <w:pPr>
        <w:spacing w:after="200" w:line="276" w:lineRule="auto"/>
        <w:jc w:val="left"/>
      </w:pPr>
      <w:r>
        <w:rPr>
          <w:rFonts w:ascii="Aptos" w:hAnsi="Aptos" w:eastAsia="Aptos"/>
          <w:sz w:val="22"/>
        </w:rPr>
        <w:t>Together, we will explore when the difficulties began, what may have been happening in your life at the time, and whether you have already tried anything to address them. The assessment process is an important part of therapy in itself, helping us develop a clearer understanding of the problem, the factors that may contribute to it, and what may be maintaining it. This also helps us understand the current difficulties more fully and decide on the most appropriate treatment plan.</w:t>
      </w:r>
    </w:p>
    <w:p>
      <w:pPr>
        <w:spacing w:after="200" w:line="276" w:lineRule="auto"/>
        <w:jc w:val="left"/>
      </w:pPr>
      <w:r>
        <w:rPr>
          <w:rFonts w:ascii="Aptos" w:hAnsi="Aptos" w:eastAsia="Aptos"/>
          <w:sz w:val="22"/>
        </w:rPr>
        <w:t>For couples, the process usually begins with a joint session followed by individual sessions for each partner. This creates space for both shared reflection and individual perspectives. We will then meet again for a formulation session, where I will share my feedback and we will collaboratively decide on the most helpful therapeutic approach moving forward.</w:t>
      </w:r>
    </w:p>
    <w:p>
      <w:pPr>
        <w:spacing w:after="200" w:line="276" w:lineRule="auto"/>
        <w:jc w:val="left"/>
      </w:pPr>
      <w:r>
        <w:rPr>
          <w:rFonts w:ascii="Aptos" w:hAnsi="Aptos" w:eastAsia="Aptos"/>
          <w:sz w:val="22"/>
        </w:rPr>
        <w:t>For individual therapy, the assessment will also include exploring previous relationships, family experiences, significant life events, and other relevant aspects of your personal history that may help us understand the current difficulties more fully.</w:t>
      </w:r>
    </w:p>
    <w:p>
      <w:pPr>
        <w:spacing w:after="360" w:line="276" w:lineRule="auto"/>
        <w:jc w:val="left"/>
      </w:pPr>
      <w:r>
        <w:rPr>
          <w:rFonts w:ascii="Aptos" w:hAnsi="Aptos" w:eastAsia="Aptos"/>
          <w:sz w:val="22"/>
        </w:rPr>
        <w:t>Before meeting with clients, I ask everyone to read and sign a confidentiality and service agreement, which can be accessed here.</w:t>
      </w:r>
    </w:p>
    <w:p>
      <w:pPr>
        <w:spacing w:before="160" w:after="160"/>
      </w:pPr>
      <w:r>
        <w:rPr>
          <w:rFonts w:ascii="Aptos Display" w:hAnsi="Aptos Display" w:eastAsia="Aptos Display"/>
          <w:color w:val="111111"/>
          <w:sz w:val="28"/>
        </w:rPr>
        <w:t>Agreement</w:t>
      </w:r>
    </w:p>
    <w:p>
      <w:pPr>
        <w:spacing w:after="240"/>
      </w:pPr>
      <w:r>
        <w:rPr>
          <w:sz w:val="21"/>
        </w:rPr>
        <w:t>I confirm that I have read and understood the information above.</w:t>
      </w:r>
    </w:p>
    <w:tbl>
      <w:tblPr>
        <w:tblW w:type="auto" w:w="0"/>
        <w:jc w:val="center"/>
        <w:tblLayout w:type="autofit"/>
        <w:tblLook w:firstColumn="1" w:firstRow="1" w:lastColumn="0" w:lastRow="0" w:noHBand="0" w:noVBand="1" w:val="04A0"/>
      </w:tblPr>
      <w:tblGrid>
        <w:gridCol w:w="4997"/>
        <w:gridCol w:w="4997"/>
      </w:tblGrid>
      <w:tr>
        <w:tc>
          <w:tcPr>
            <w:tcW w:type="dxa" w:w="4997"/>
            <w:vAlign w:val="bottom"/>
            <w:tcBorders>
              <w:top w:sz="0" w:val="nil" w:color="FFFFFF"/>
              <w:left w:sz="0" w:val="nil" w:color="FFFFFF"/>
              <w:bottom w:sz="8" w:val="single" w:color="8ECAC7" w:space="0"/>
              <w:right w:sz="0" w:val="nil" w:color="FFFFFF"/>
            </w:tcBorders>
          </w:tcPr>
          <w:p>
            <w:r>
              <w:rPr>
                <w:rFonts w:ascii="Aptos" w:hAnsi="Aptos" w:eastAsia="Aptos"/>
                <w:color w:val="414141"/>
                <w:sz w:val="19"/>
              </w:rPr>
              <w:t>Client Signature</w:t>
            </w:r>
          </w:p>
        </w:tc>
        <w:tc>
          <w:tcPr>
            <w:tcW w:type="dxa" w:w="4997"/>
            <w:vAlign w:val="bottom"/>
            <w:tcBorders>
              <w:top w:sz="0" w:val="nil" w:color="FFFFFF"/>
              <w:left w:sz="0" w:val="nil" w:color="FFFFFF"/>
              <w:bottom w:sz="8" w:val="single" w:color="8ECAC7" w:space="0"/>
              <w:right w:sz="0" w:val="nil" w:color="FFFFFF"/>
            </w:tcBorders>
          </w:tcPr>
          <w:p>
            <w:r>
              <w:rPr>
                <w:rFonts w:ascii="Aptos" w:hAnsi="Aptos" w:eastAsia="Aptos"/>
                <w:color w:val="414141"/>
                <w:sz w:val="19"/>
              </w:rPr>
              <w:t>Date</w:t>
            </w:r>
          </w:p>
        </w:tc>
      </w:tr>
      <w:tr>
        <w:tc>
          <w:tcPr>
            <w:tcW w:type="dxa" w:w="4997"/>
            <w:vAlign w:val="bottom"/>
            <w:tcBorders>
              <w:top w:sz="0" w:val="nil" w:color="FFFFFF"/>
              <w:left w:sz="0" w:val="nil" w:color="FFFFFF"/>
              <w:bottom w:sz="8" w:val="single" w:color="8ECAC7" w:space="0"/>
              <w:right w:sz="0" w:val="nil" w:color="FFFFFF"/>
            </w:tcBorders>
          </w:tcPr>
          <w:p>
            <w:r>
              <w:rPr>
                <w:rFonts w:ascii="Aptos" w:hAnsi="Aptos" w:eastAsia="Aptos"/>
                <w:color w:val="414141"/>
                <w:sz w:val="19"/>
              </w:rPr>
              <w:t>Practitioner Signature</w:t>
            </w:r>
          </w:p>
        </w:tc>
        <w:tc>
          <w:tcPr>
            <w:tcW w:type="dxa" w:w="4997"/>
            <w:vAlign w:val="bottom"/>
            <w:tcBorders>
              <w:top w:sz="0" w:val="nil" w:color="FFFFFF"/>
              <w:left w:sz="0" w:val="nil" w:color="FFFFFF"/>
              <w:bottom w:sz="8" w:val="single" w:color="8ECAC7" w:space="0"/>
              <w:right w:sz="0" w:val="nil" w:color="FFFFFF"/>
            </w:tcBorders>
          </w:tcPr>
          <w:p>
            <w:r>
              <w:rPr>
                <w:rFonts w:ascii="Aptos" w:hAnsi="Aptos" w:eastAsia="Aptos"/>
                <w:color w:val="414141"/>
                <w:sz w:val="19"/>
              </w:rPr>
              <w:t>Date</w:t>
            </w:r>
          </w:p>
        </w:tc>
      </w:tr>
    </w:tbl>
    <w:sectPr w:rsidR="00FC693F" w:rsidRPr="0006063C" w:rsidSect="00034616">
      <w:headerReference w:type="default" r:id="rId9"/>
      <w:footerReference w:type="default" r:id="rId10"/>
      <w:pgSz w:w="12240" w:h="15840"/>
      <w:pgMar w:top="792" w:right="1123" w:bottom="936" w:left="112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ptos" w:hAnsi="Aptos" w:eastAsia="Aptos"/>
        <w:color w:val="5A5A5A"/>
        <w:sz w:val="16"/>
      </w:rPr>
      <w:t>Lina Milner Relationship &amp; Psychosexual Therapy</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spacing w:after="80"/>
      <w:jc w:val="center"/>
    </w:pPr>
    <w:r>
      <w:drawing>
        <wp:inline xmlns:a="http://schemas.openxmlformats.org/drawingml/2006/main" xmlns:pic="http://schemas.openxmlformats.org/drawingml/2006/picture">
          <wp:extent cx="5303520" cy="1039490"/>
          <wp:docPr id="1" name="Picture 1"/>
          <wp:cNvGraphicFramePr>
            <a:graphicFrameLocks noChangeAspect="1"/>
          </wp:cNvGraphicFramePr>
          <a:graphic>
            <a:graphicData uri="http://schemas.openxmlformats.org/drawingml/2006/picture">
              <pic:pic>
                <pic:nvPicPr>
                  <pic:cNvPr id="0" name="Lina-Logo-01.png"/>
                  <pic:cNvPicPr/>
                </pic:nvPicPr>
                <pic:blipFill>
                  <a:blip r:embed="rId1"/>
                  <a:stretch>
                    <a:fillRect/>
                  </a:stretch>
                </pic:blipFill>
                <pic:spPr>
                  <a:xfrm>
                    <a:off x="0" y="0"/>
                    <a:ext cx="5303520" cy="1039490"/>
                  </a:xfrm>
                  <a:prstGeom prst="rect"/>
                </pic:spPr>
              </pic:pic>
            </a:graphicData>
          </a:graphic>
        </wp:inline>
      </w:drawing>
    </w:r>
  </w:p>
  <w:p>
    <w:pPr>
      <w:pBdr>
        <w:bottom w:val="single" w:sz="10" w:space="1" w:color="8ECAC7"/>
      </w:pBdr>
      <w:spacing w:after="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69" w:lineRule="auto" w:after="160"/>
    </w:pPr>
    <w:rPr>
      <w:rFonts w:ascii="Aptos" w:hAnsi="Aptos" w:eastAsia="Aptos"/>
      <w:color w:val="20202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Display" w:hAnsi="Aptos Display" w:eastAsia="Aptos Display"/>
      <w:b w:val="0"/>
      <w:bCs/>
      <w:color w:val="111111"/>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ptos Display" w:hAnsi="Aptos Display" w:eastAsia="Aptos Display"/>
      <w:b w:val="0"/>
      <w:color w:val="111111"/>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